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9" w:before="0" w:after="0"/>
        <w:ind w:hanging="0" w:start="0"/>
        <w:jc w:val="start"/>
        <w:rPr/>
      </w:pPr>
      <w:r>
        <w:rPr>
          <w:rFonts w:eastAsia="Arial" w:cs="Arial" w:ascii="Arial" w:hAnsi="Arial"/>
          <w:b/>
          <w:sz w:val="36"/>
        </w:rPr>
        <w:t xml:space="preserve"> </w:t>
      </w:r>
    </w:p>
    <w:p>
      <w:pPr>
        <w:pStyle w:val="Normal"/>
        <w:spacing w:lineRule="auto" w:line="259" w:before="0" w:after="0"/>
        <w:ind w:hanging="0" w:start="0"/>
        <w:jc w:val="start"/>
        <w:rPr/>
      </w:pPr>
      <w:r>
        <w:rPr>
          <w:rFonts w:eastAsia="Arial" w:cs="Arial" w:ascii="Arial" w:hAnsi="Arial"/>
          <w:b/>
          <w:sz w:val="36"/>
        </w:rPr>
        <w:t xml:space="preserve"> </w:t>
      </w:r>
    </w:p>
    <w:p>
      <w:pPr>
        <w:pStyle w:val="Normal"/>
        <w:spacing w:lineRule="auto" w:line="259" w:before="0" w:after="0"/>
        <w:ind w:hanging="0" w:start="0"/>
        <w:jc w:val="start"/>
        <w:rPr/>
      </w:pPr>
      <w:r>
        <w:rPr>
          <w:rFonts w:eastAsia="Arial" w:cs="Arial" w:ascii="Arial" w:hAnsi="Arial"/>
          <w:b/>
          <w:sz w:val="36"/>
        </w:rPr>
        <w:t xml:space="preserve"> </w:t>
      </w:r>
    </w:p>
    <w:p>
      <w:pPr>
        <w:pStyle w:val="Normal"/>
        <w:spacing w:lineRule="auto" w:line="259" w:before="0" w:after="0"/>
        <w:ind w:hanging="0" w:start="0"/>
        <w:jc w:val="start"/>
        <w:rPr/>
      </w:pPr>
      <w:r>
        <w:rPr>
          <w:rFonts w:eastAsia="Arial" w:cs="Arial" w:ascii="Arial" w:hAnsi="Arial"/>
          <w:b/>
          <w:sz w:val="36"/>
        </w:rPr>
        <w:t xml:space="preserve"> </w:t>
      </w:r>
    </w:p>
    <w:p>
      <w:pPr>
        <w:pStyle w:val="Normal"/>
        <w:spacing w:lineRule="auto" w:line="259" w:before="0" w:after="0"/>
        <w:ind w:hanging="0" w:start="0"/>
        <w:jc w:val="start"/>
        <w:rPr/>
      </w:pPr>
      <w:r>
        <w:rPr>
          <w:rFonts w:eastAsia="Arial" w:cs="Arial" w:ascii="Arial" w:hAnsi="Arial"/>
          <w:b/>
          <w:sz w:val="36"/>
        </w:rPr>
        <w:t xml:space="preserve"> </w:t>
      </w:r>
    </w:p>
    <w:p>
      <w:pPr>
        <w:pStyle w:val="Normal"/>
        <w:spacing w:lineRule="auto" w:line="259" w:before="0" w:after="0"/>
        <w:ind w:hanging="0" w:start="0"/>
        <w:jc w:val="start"/>
        <w:rPr/>
      </w:pPr>
      <w:r>
        <w:rPr>
          <w:rFonts w:eastAsia="Arial" w:cs="Arial" w:ascii="Arial" w:hAnsi="Arial"/>
          <w:b/>
          <w:sz w:val="36"/>
        </w:rPr>
        <w:t xml:space="preserve"> </w:t>
      </w:r>
    </w:p>
    <w:p>
      <w:pPr>
        <w:pStyle w:val="Normal"/>
        <w:spacing w:lineRule="auto" w:line="259" w:before="0" w:after="162"/>
        <w:ind w:hanging="0" w:start="0"/>
        <w:jc w:val="start"/>
        <w:rPr>
          <w:b/>
          <w:sz w:val="36"/>
        </w:rPr>
      </w:pPr>
      <w:r>
        <w:rPr>
          <w:b/>
          <w:sz w:val="36"/>
        </w:rPr>
        <w:t xml:space="preserve"> </w:t>
      </w:r>
    </w:p>
    <w:p>
      <w:pPr>
        <w:pStyle w:val="Normal"/>
        <w:spacing w:lineRule="auto" w:line="259" w:before="0" w:after="162"/>
        <w:ind w:hanging="0" w:start="0"/>
        <w:jc w:val="start"/>
        <w:rPr/>
      </w:pPr>
      <w:r>
        <w:rPr/>
      </w:r>
    </w:p>
    <w:p>
      <w:pPr>
        <w:pStyle w:val="Normal"/>
        <w:spacing w:lineRule="auto" w:line="259" w:before="0" w:after="162"/>
        <w:ind w:hanging="0" w:start="0"/>
        <w:jc w:val="start"/>
        <w:rPr/>
      </w:pPr>
      <w:r>
        <w:rPr/>
      </w:r>
    </w:p>
    <w:p>
      <w:pPr>
        <w:pStyle w:val="Normal"/>
        <w:spacing w:lineRule="auto" w:line="259" w:before="0" w:after="171"/>
        <w:ind w:hanging="10" w:start="10" w:end="2042"/>
        <w:jc w:val="end"/>
        <w:rPr>
          <w:b/>
        </w:rPr>
      </w:pPr>
      <w:r>
        <w:rPr>
          <w:b/>
          <w:sz w:val="36"/>
        </w:rPr>
        <w:t xml:space="preserve">SPECYFIKACJA TECHNICZNA </w:t>
      </w:r>
    </w:p>
    <w:p>
      <w:pPr>
        <w:pStyle w:val="Normal"/>
        <w:spacing w:lineRule="auto" w:line="259" w:before="0" w:after="171"/>
        <w:ind w:hanging="10" w:start="10" w:end="1761"/>
        <w:jc w:val="end"/>
        <w:rPr>
          <w:b/>
        </w:rPr>
      </w:pPr>
      <w:r>
        <w:rPr>
          <w:b/>
          <w:sz w:val="36"/>
        </w:rPr>
        <w:t xml:space="preserve">WYKONANIA I ODBIORU ROBÓT </w:t>
      </w:r>
    </w:p>
    <w:p>
      <w:pPr>
        <w:pStyle w:val="Normal"/>
        <w:spacing w:lineRule="auto" w:line="355" w:before="0" w:after="2"/>
        <w:ind w:hanging="0" w:start="4533" w:end="4448"/>
        <w:jc w:val="center"/>
        <w:rPr/>
      </w:pPr>
      <w:r>
        <w:rPr>
          <w:sz w:val="36"/>
        </w:rPr>
        <w:t xml:space="preserve">  </w:t>
      </w:r>
    </w:p>
    <w:p>
      <w:pPr>
        <w:pStyle w:val="Normal"/>
        <w:spacing w:lineRule="auto" w:line="259" w:before="0" w:after="171"/>
        <w:jc w:val="center"/>
        <w:rPr>
          <w:sz w:val="32"/>
          <w:szCs w:val="32"/>
        </w:rPr>
      </w:pPr>
      <w:r>
        <w:rPr>
          <w:sz w:val="32"/>
          <w:szCs w:val="32"/>
        </w:rPr>
        <w:t>BRANŻA BUDOWLANA</w:t>
      </w:r>
    </w:p>
    <w:p>
      <w:pPr>
        <w:pStyle w:val="Normal"/>
        <w:spacing w:lineRule="auto" w:line="259" w:before="0" w:after="171"/>
        <w:jc w:val="end"/>
        <w:rPr>
          <w:sz w:val="36"/>
        </w:rPr>
      </w:pPr>
      <w:r>
        <w:rPr>
          <w:sz w:val="36"/>
        </w:rPr>
      </w:r>
    </w:p>
    <w:p>
      <w:pPr>
        <w:pStyle w:val="Normal"/>
        <w:spacing w:lineRule="auto" w:line="259" w:before="0" w:after="17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ST 2.  ROBOTY ROZBIÓRKOWE</w:t>
      </w:r>
    </w:p>
    <w:p>
      <w:pPr>
        <w:pStyle w:val="Normal"/>
        <w:spacing w:lineRule="auto" w:line="259" w:before="0" w:after="171"/>
        <w:ind w:hanging="0" w:start="796"/>
        <w:jc w:val="center"/>
        <w:rPr/>
      </w:pPr>
      <w:r>
        <w:rPr>
          <w:sz w:val="36"/>
        </w:rPr>
        <w:t xml:space="preserve"> </w:t>
      </w:r>
    </w:p>
    <w:p>
      <w:pPr>
        <w:pStyle w:val="Normal"/>
        <w:spacing w:lineRule="auto" w:line="259" w:before="0" w:after="0"/>
        <w:ind w:hanging="0" w:start="0"/>
        <w:jc w:val="start"/>
        <w:rPr/>
      </w:pPr>
      <w:r>
        <w:rPr>
          <w:sz w:val="36"/>
        </w:rPr>
        <w:t xml:space="preserve"> </w:t>
      </w:r>
    </w:p>
    <w:p>
      <w:pPr>
        <w:pStyle w:val="Normal"/>
        <w:spacing w:lineRule="auto" w:line="259" w:before="0" w:after="171"/>
        <w:ind w:hanging="0" w:start="85"/>
        <w:jc w:val="center"/>
        <w:rPr/>
      </w:pPr>
      <w:r>
        <w:rPr>
          <w:sz w:val="36"/>
        </w:rPr>
        <w:t xml:space="preserve"> </w:t>
      </w:r>
    </w:p>
    <w:p>
      <w:pPr>
        <w:pStyle w:val="Heading1"/>
        <w:ind w:hanging="10" w:start="10" w:end="0"/>
        <w:jc w:val="center"/>
        <w:rPr>
          <w:sz w:val="28"/>
          <w:szCs w:val="28"/>
        </w:rPr>
      </w:pPr>
      <w:r>
        <w:rPr>
          <w:sz w:val="28"/>
          <w:szCs w:val="28"/>
        </w:rPr>
        <w:t>KOD GŁÓWNY CPV 45111100-9</w:t>
      </w:r>
    </w:p>
    <w:p>
      <w:pPr>
        <w:pStyle w:val="Normal"/>
        <w:spacing w:lineRule="auto" w:line="259" w:before="0" w:after="46"/>
        <w:ind w:hanging="0" w:start="85"/>
        <w:jc w:val="center"/>
        <w:rPr/>
      </w:pPr>
      <w:r>
        <w:rPr>
          <w:sz w:val="36"/>
        </w:rPr>
        <w:t xml:space="preserve"> </w:t>
      </w:r>
    </w:p>
    <w:p>
      <w:pPr>
        <w:pStyle w:val="Normal"/>
        <w:spacing w:lineRule="auto" w:line="259" w:before="0" w:after="105"/>
        <w:ind w:hanging="0" w:start="57"/>
        <w:jc w:val="center"/>
        <w:rPr/>
      </w:pP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spacing w:lineRule="auto" w:line="259" w:before="0" w:after="105"/>
        <w:ind w:hanging="0" w:start="0"/>
        <w:jc w:val="start"/>
        <w:rPr/>
      </w:pP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spacing w:lineRule="auto" w:line="259" w:before="0" w:after="107"/>
        <w:ind w:hanging="0" w:start="0"/>
        <w:jc w:val="start"/>
        <w:rPr/>
      </w:pP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spacing w:lineRule="auto" w:line="259" w:before="0" w:after="105"/>
        <w:ind w:hanging="0" w:start="0"/>
        <w:jc w:val="start"/>
        <w:rPr/>
      </w:pP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spacing w:lineRule="auto" w:line="259" w:before="0" w:after="105"/>
        <w:ind w:hanging="0" w:start="0"/>
        <w:jc w:val="start"/>
        <w:rPr/>
      </w:pP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spacing w:lineRule="auto" w:line="355" w:before="0" w:after="2"/>
        <w:ind w:hanging="0" w:start="0" w:end="9010"/>
        <w:jc w:val="start"/>
        <w:rPr/>
      </w:pPr>
      <w:r>
        <w:rPr>
          <w:rFonts w:eastAsia="Arial" w:cs="Arial" w:ascii="Arial" w:hAnsi="Arial"/>
          <w:sz w:val="22"/>
        </w:rPr>
        <w:t xml:space="preserve"> </w:t>
      </w:r>
      <w:r>
        <w:rPr>
          <w:rFonts w:eastAsia="Arial" w:cs="Arial" w:ascii="Arial" w:hAnsi="Arial"/>
          <w:b/>
          <w:sz w:val="22"/>
        </w:rPr>
        <w:t xml:space="preserve"> </w:t>
      </w:r>
    </w:p>
    <w:p>
      <w:pPr>
        <w:pStyle w:val="Normal"/>
        <w:spacing w:lineRule="auto" w:line="259" w:before="0" w:after="1442"/>
        <w:ind w:hanging="0" w:start="0"/>
        <w:jc w:val="start"/>
        <w:rPr>
          <w:rFonts w:ascii="Arial" w:hAnsi="Arial" w:eastAsia="Arial" w:cs="Arial"/>
          <w:b/>
          <w:sz w:val="22"/>
        </w:rPr>
      </w:pPr>
      <w:r>
        <w:rPr>
          <w:rFonts w:eastAsia="Arial" w:cs="Arial" w:ascii="Arial" w:hAnsi="Arial"/>
          <w:b/>
          <w:sz w:val="22"/>
        </w:rPr>
        <w:t xml:space="preserve"> </w:t>
      </w:r>
    </w:p>
    <w:p>
      <w:pPr>
        <w:pStyle w:val="Normal"/>
        <w:spacing w:lineRule="auto" w:line="259" w:before="0" w:after="1442"/>
        <w:ind w:hanging="0" w:start="0"/>
        <w:jc w:val="start"/>
        <w:rPr/>
      </w:pPr>
      <w:r>
        <w:rPr/>
      </w:r>
    </w:p>
    <w:p>
      <w:pPr>
        <w:pStyle w:val="Normal"/>
        <w:spacing w:lineRule="auto" w:line="259" w:before="0" w:after="1442"/>
        <w:ind w:hanging="0" w:start="0"/>
        <w:jc w:val="start"/>
        <w:rPr/>
      </w:pPr>
      <w:r>
        <w:rPr/>
      </w:r>
    </w:p>
    <w:p>
      <w:pPr>
        <w:pStyle w:val="Normal"/>
        <w:numPr>
          <w:ilvl w:val="0"/>
          <w:numId w:val="1"/>
        </w:numPr>
        <w:ind w:hanging="302" w:start="302"/>
        <w:rPr/>
      </w:pPr>
      <w:r>
        <w:rPr/>
        <w:t xml:space="preserve">Wstęp </w:t>
      </w:r>
    </w:p>
    <w:p>
      <w:pPr>
        <w:pStyle w:val="Normal"/>
        <w:numPr>
          <w:ilvl w:val="1"/>
          <w:numId w:val="1"/>
        </w:numPr>
        <w:ind w:hanging="556" w:start="1276"/>
        <w:rPr/>
      </w:pPr>
      <w:r>
        <w:rPr/>
        <w:t xml:space="preserve">Przedmiot ST </w:t>
      </w:r>
    </w:p>
    <w:p>
      <w:pPr>
        <w:pStyle w:val="Normal"/>
        <w:ind w:hanging="10" w:start="1276"/>
        <w:rPr/>
      </w:pPr>
      <w:r>
        <w:rPr/>
        <w:t>Przedmiotem niniejszej specyfikacji technicznej są wymagania dotyczące wykonania i odbioru robót rozbiórkowych.</w:t>
      </w:r>
    </w:p>
    <w:p>
      <w:pPr>
        <w:pStyle w:val="Normal"/>
        <w:numPr>
          <w:ilvl w:val="1"/>
          <w:numId w:val="1"/>
        </w:numPr>
        <w:ind w:hanging="578" w:start="1276"/>
        <w:rPr/>
      </w:pPr>
      <w:r>
        <w:rPr/>
        <w:t>Zakres stosowania ST</w:t>
      </w:r>
    </w:p>
    <w:p>
      <w:pPr>
        <w:pStyle w:val="Normal"/>
        <w:ind w:hanging="10" w:start="1276"/>
        <w:rPr/>
      </w:pPr>
      <w:r>
        <w:rPr/>
        <w:t xml:space="preserve">Specyfikacja Techniczna jest opracowana jako dokument przetargowy i kontraktowy przy zlecaniu </w:t>
        <w:br/>
        <w:t xml:space="preserve">i realizacji robót wymienionych w punkcie 1.1. </w:t>
      </w:r>
    </w:p>
    <w:p>
      <w:pPr>
        <w:pStyle w:val="Normal"/>
        <w:numPr>
          <w:ilvl w:val="1"/>
          <w:numId w:val="1"/>
        </w:numPr>
        <w:ind w:hanging="556" w:start="1276"/>
        <w:rPr/>
      </w:pPr>
      <w:r>
        <w:rPr/>
        <w:t xml:space="preserve">Zakres robot objętych ST </w:t>
      </w:r>
    </w:p>
    <w:p>
      <w:pPr>
        <w:pStyle w:val="Normal"/>
        <w:ind w:hanging="10" w:start="1276"/>
        <w:rPr/>
      </w:pPr>
      <w:r>
        <w:rPr/>
        <w:t xml:space="preserve">Ustalenia zawarte w niniejszej specyfikacji dotyczą prowadzenia robót przy wykonaniu robót rozbiórkowych i obejmują: rozebranie ścian </w:t>
      </w:r>
      <w:r>
        <w:rPr/>
        <w:t>z gips-kartonu,</w:t>
      </w:r>
      <w:r>
        <w:rPr/>
        <w:t xml:space="preserve"> betonowych i żelbetowych, wykucia z muru ościeży, rozbiórek podłóg i posadzek betonowych i żelbetowych. </w:t>
      </w:r>
    </w:p>
    <w:p>
      <w:pPr>
        <w:pStyle w:val="Normal"/>
        <w:ind w:hanging="10" w:start="718"/>
        <w:rPr/>
      </w:pPr>
      <w:r>
        <w:rPr/>
      </w:r>
    </w:p>
    <w:p>
      <w:pPr>
        <w:pStyle w:val="Normal"/>
        <w:numPr>
          <w:ilvl w:val="0"/>
          <w:numId w:val="1"/>
        </w:numPr>
        <w:ind w:hanging="302" w:start="302"/>
        <w:rPr/>
      </w:pPr>
      <w:r>
        <w:rPr/>
        <w:t xml:space="preserve">Materiały </w:t>
      </w:r>
    </w:p>
    <w:p>
      <w:pPr>
        <w:pStyle w:val="Normal"/>
        <w:numPr>
          <w:ilvl w:val="1"/>
          <w:numId w:val="1"/>
        </w:numPr>
        <w:ind w:hanging="556" w:start="1276"/>
        <w:rPr/>
      </w:pPr>
      <w:r>
        <w:rPr/>
        <w:t xml:space="preserve">Ogólne wymagania dotyczące materiałów </w:t>
      </w:r>
    </w:p>
    <w:p>
      <w:pPr>
        <w:pStyle w:val="Normal"/>
        <w:ind w:hanging="10" w:start="1276"/>
        <w:rPr/>
      </w:pPr>
      <w:r>
        <w:rPr/>
        <w:t xml:space="preserve">Ogólne wymagania dotyczące materiałów, ich pozyskania i składowania podano w ST1. Wymagania ogólne. </w:t>
      </w:r>
    </w:p>
    <w:p>
      <w:pPr>
        <w:pStyle w:val="Normal"/>
        <w:numPr>
          <w:ilvl w:val="1"/>
          <w:numId w:val="1"/>
        </w:numPr>
        <w:ind w:hanging="556" w:start="1276"/>
        <w:rPr/>
      </w:pPr>
      <w:r>
        <w:rPr/>
        <w:t xml:space="preserve">Szczególne wymagania dotyczące materiałów </w:t>
      </w:r>
    </w:p>
    <w:p>
      <w:pPr>
        <w:pStyle w:val="Normal"/>
        <w:ind w:hanging="10" w:start="1276"/>
        <w:rPr/>
      </w:pPr>
      <w:r>
        <w:rPr/>
        <w:t>Do wykonania robót rozbiórkowych nie jest konieczne użycie żadnych materiałów, poza materiałami zabezpieczeń, które są tymczasowe na okres prac remontowych.</w:t>
      </w:r>
    </w:p>
    <w:p>
      <w:pPr>
        <w:pStyle w:val="Normal"/>
        <w:ind w:hanging="10" w:start="718"/>
        <w:rPr/>
      </w:pPr>
      <w:r>
        <w:rPr/>
        <w:t xml:space="preserve">  </w:t>
      </w:r>
    </w:p>
    <w:p>
      <w:pPr>
        <w:pStyle w:val="Normal"/>
        <w:numPr>
          <w:ilvl w:val="0"/>
          <w:numId w:val="1"/>
        </w:numPr>
        <w:ind w:hanging="302" w:start="302"/>
        <w:rPr/>
      </w:pPr>
      <w:r>
        <w:rPr/>
        <w:t xml:space="preserve">Sprzęt </w:t>
      </w:r>
    </w:p>
    <w:p>
      <w:pPr>
        <w:pStyle w:val="Normal"/>
        <w:numPr>
          <w:ilvl w:val="1"/>
          <w:numId w:val="1"/>
        </w:numPr>
        <w:ind w:hanging="556" w:start="1276"/>
        <w:rPr/>
      </w:pPr>
      <w:r>
        <w:rPr/>
        <w:t xml:space="preserve">Ogólne wymagania dotyczące sprzętu </w:t>
      </w:r>
    </w:p>
    <w:p>
      <w:pPr>
        <w:pStyle w:val="Normal"/>
        <w:tabs>
          <w:tab w:val="clear" w:pos="708"/>
          <w:tab w:val="center" w:pos="3863" w:leader="none"/>
        </w:tabs>
        <w:ind w:hanging="0" w:start="851"/>
        <w:jc w:val="start"/>
        <w:rPr/>
      </w:pPr>
      <w:r>
        <w:rPr/>
        <w:t xml:space="preserve">        </w:t>
      </w:r>
      <w:r>
        <w:rPr/>
        <w:tab/>
        <w:t xml:space="preserve">Ogólne wymagania dotyczące sprzętu są zawarte w ST 1.  Wymagania ogólne. </w:t>
      </w:r>
    </w:p>
    <w:p>
      <w:pPr>
        <w:pStyle w:val="Normal"/>
        <w:numPr>
          <w:ilvl w:val="1"/>
          <w:numId w:val="1"/>
        </w:numPr>
        <w:ind w:hanging="556" w:start="1276"/>
        <w:rPr/>
      </w:pPr>
      <w:r>
        <w:rPr/>
        <w:t xml:space="preserve">Szczególne wymagania dotyczące sprzętu </w:t>
      </w:r>
    </w:p>
    <w:p>
      <w:pPr>
        <w:pStyle w:val="Normal"/>
        <w:ind w:hanging="10" w:start="1276"/>
        <w:rPr/>
      </w:pPr>
      <w:r>
        <w:rPr/>
        <w:t xml:space="preserve">Do wykonania prac wyburzeniowych należy użyć elektronarzędzi w postaci lżejszych młotów udarowych. </w:t>
      </w:r>
      <w:bookmarkStart w:id="0" w:name="_GoBack"/>
      <w:bookmarkEnd w:id="0"/>
    </w:p>
    <w:p>
      <w:pPr>
        <w:pStyle w:val="Normal"/>
        <w:ind w:hanging="10" w:start="718"/>
        <w:rPr/>
      </w:pPr>
      <w:r>
        <w:rPr/>
      </w:r>
    </w:p>
    <w:p>
      <w:pPr>
        <w:pStyle w:val="Normal"/>
        <w:numPr>
          <w:ilvl w:val="0"/>
          <w:numId w:val="1"/>
        </w:numPr>
        <w:ind w:hanging="302" w:start="302"/>
        <w:rPr/>
      </w:pPr>
      <w:r>
        <w:rPr/>
        <w:t xml:space="preserve">Transport </w:t>
      </w:r>
    </w:p>
    <w:p>
      <w:pPr>
        <w:pStyle w:val="Normal"/>
        <w:numPr>
          <w:ilvl w:val="1"/>
          <w:numId w:val="1"/>
        </w:numPr>
        <w:ind w:hanging="556" w:start="1276"/>
        <w:rPr/>
      </w:pPr>
      <w:r>
        <w:rPr/>
        <w:t xml:space="preserve">Ogólne wymagania dotyczące transportu </w:t>
      </w:r>
    </w:p>
    <w:p>
      <w:pPr>
        <w:pStyle w:val="Normal"/>
        <w:tabs>
          <w:tab w:val="clear" w:pos="708"/>
          <w:tab w:val="center" w:pos="3217" w:leader="none"/>
        </w:tabs>
        <w:ind w:hanging="0" w:start="1276"/>
        <w:jc w:val="start"/>
        <w:rPr/>
      </w:pPr>
      <w:r>
        <w:rPr/>
        <w:t xml:space="preserve">Ogólne zasady transportu podano w ST 1. Wymagania ogólne. </w:t>
      </w:r>
    </w:p>
    <w:p>
      <w:pPr>
        <w:pStyle w:val="Normal"/>
        <w:numPr>
          <w:ilvl w:val="1"/>
          <w:numId w:val="1"/>
        </w:numPr>
        <w:ind w:hanging="556" w:start="1276"/>
        <w:rPr/>
      </w:pPr>
      <w:r>
        <w:rPr/>
        <w:t xml:space="preserve">Szczególne wymagania dotyczące transportu </w:t>
      </w:r>
    </w:p>
    <w:p>
      <w:pPr>
        <w:pStyle w:val="Normal"/>
        <w:ind w:hanging="10" w:start="1276"/>
        <w:rPr/>
      </w:pPr>
      <w:r>
        <w:rPr/>
        <w:t>Do wywozu gruzu oraz materiałów rozbiórkowych z terenu remontu należy użyć środków transportu wyposażonymi w plandeki zabezpieczające przed rozprzestrzenianiem kurzu, materiały do zabezpieczeń tymczasowych nie wymagają specjalnych środków transportu.</w:t>
      </w:r>
    </w:p>
    <w:p>
      <w:pPr>
        <w:pStyle w:val="Normal"/>
        <w:ind w:hanging="10" w:start="718"/>
        <w:rPr/>
      </w:pPr>
      <w:r>
        <w:rPr/>
      </w:r>
    </w:p>
    <w:p>
      <w:pPr>
        <w:pStyle w:val="Normal"/>
        <w:numPr>
          <w:ilvl w:val="0"/>
          <w:numId w:val="1"/>
        </w:numPr>
        <w:ind w:hanging="302" w:start="302"/>
        <w:rPr/>
      </w:pPr>
      <w:r>
        <w:rPr/>
        <w:t xml:space="preserve">Wykonanie robót </w:t>
      </w:r>
    </w:p>
    <w:p>
      <w:pPr>
        <w:pStyle w:val="Normal"/>
        <w:numPr>
          <w:ilvl w:val="1"/>
          <w:numId w:val="1"/>
        </w:numPr>
        <w:ind w:hanging="556" w:start="1276"/>
        <w:rPr/>
      </w:pPr>
      <w:r>
        <w:rPr/>
        <w:t xml:space="preserve">Ogóle zasady wykonania robót </w:t>
      </w:r>
    </w:p>
    <w:p>
      <w:pPr>
        <w:pStyle w:val="Normal"/>
        <w:tabs>
          <w:tab w:val="clear" w:pos="708"/>
          <w:tab w:val="center" w:pos="3461" w:leader="none"/>
        </w:tabs>
        <w:ind w:hanging="0" w:start="1276"/>
        <w:jc w:val="start"/>
        <w:rPr/>
      </w:pPr>
      <w:r>
        <w:rPr/>
        <w:t xml:space="preserve">Ogóle zasady wykonania robót podano w ST 1.  Wymagania ogólne. </w:t>
      </w:r>
    </w:p>
    <w:p>
      <w:pPr>
        <w:pStyle w:val="Normal"/>
        <w:numPr>
          <w:ilvl w:val="1"/>
          <w:numId w:val="1"/>
        </w:numPr>
        <w:ind w:hanging="556" w:start="1276"/>
        <w:rPr/>
      </w:pPr>
      <w:r>
        <w:rPr/>
        <w:t xml:space="preserve">Szczególne zasady wykonania robót </w:t>
      </w:r>
    </w:p>
    <w:p>
      <w:pPr>
        <w:pStyle w:val="Normal"/>
        <w:ind w:hanging="10" w:start="1276"/>
        <w:rPr/>
      </w:pPr>
      <w:r>
        <w:rPr/>
        <w:t xml:space="preserve">Prowadzenie prac rozbiórkowych należy tak zaplanować, aby były one jak najmniej uciążliwe, prace należy wykonywać w terminach uzgodnionych z Inwestorem. Szczególną uwagę należy zwrócić przy wykonywaniu prac przy rozbiórkach ścian konstrukcyjnych , przed przystąpieniem do tych prac należy stropy zabezpieczyć przez stemplowanie na całej długości rozbieranych ścian. Posadzki na korytarzach zabezpieczyć należy grubą folią izolacyjna, </w:t>
      </w:r>
      <w:r>
        <w:rPr/>
        <w:t>tekturą</w:t>
      </w:r>
      <w:r>
        <w:rPr/>
        <w:t xml:space="preserve"> lub twardą płyta pilśniową.</w:t>
      </w:r>
    </w:p>
    <w:p>
      <w:pPr>
        <w:pStyle w:val="Normal"/>
        <w:ind w:hanging="10" w:start="718"/>
        <w:rPr/>
      </w:pPr>
      <w:r>
        <w:rPr/>
        <w:t xml:space="preserve">  </w:t>
      </w:r>
    </w:p>
    <w:p>
      <w:pPr>
        <w:pStyle w:val="Normal"/>
        <w:numPr>
          <w:ilvl w:val="0"/>
          <w:numId w:val="1"/>
        </w:numPr>
        <w:ind w:hanging="302" w:start="302"/>
        <w:rPr/>
      </w:pPr>
      <w:r>
        <w:rPr/>
        <w:t xml:space="preserve">Kontrola jakości robót </w:t>
      </w:r>
    </w:p>
    <w:p>
      <w:pPr>
        <w:pStyle w:val="Normal"/>
        <w:numPr>
          <w:ilvl w:val="1"/>
          <w:numId w:val="1"/>
        </w:numPr>
        <w:ind w:hanging="556" w:start="1276"/>
        <w:rPr/>
      </w:pPr>
      <w:r>
        <w:rPr/>
        <w:t xml:space="preserve">Ogólne zasady kontroli jakości  </w:t>
      </w:r>
    </w:p>
    <w:p>
      <w:pPr>
        <w:pStyle w:val="Normal"/>
        <w:tabs>
          <w:tab w:val="clear" w:pos="708"/>
          <w:tab w:val="center" w:pos="3436" w:leader="none"/>
        </w:tabs>
        <w:ind w:hanging="0" w:start="1276"/>
        <w:jc w:val="start"/>
        <w:rPr/>
      </w:pPr>
      <w:r>
        <w:rPr/>
        <w:tab/>
        <w:t>Ogólne zasady kontroli jakości podano w ST 1.  Wymagania ogólne.</w:t>
      </w:r>
    </w:p>
    <w:p>
      <w:pPr>
        <w:pStyle w:val="Normal"/>
        <w:numPr>
          <w:ilvl w:val="1"/>
          <w:numId w:val="1"/>
        </w:numPr>
        <w:ind w:hanging="556" w:start="1276"/>
        <w:rPr/>
      </w:pPr>
      <w:r>
        <w:rPr/>
        <w:t xml:space="preserve">Szczególne zasady kontroli jakości   </w:t>
      </w:r>
    </w:p>
    <w:p>
      <w:pPr>
        <w:pStyle w:val="Normal"/>
        <w:ind w:hanging="10" w:start="1276"/>
        <w:rPr/>
      </w:pPr>
      <w:r>
        <w:rPr/>
        <w:t>Podstawową czynnością kontrolna jest sprawdzenie czy nie naruszono żadnego elementu konstrukcyjnego a zwłaszcza stropu podczas rozbierania ścian konstrukcyjnych. Powierzchnia rozbieranej podłogi powinna być wolna od zanieczyszczeń i pozostałości rozbieranej podłogi.</w:t>
      </w:r>
    </w:p>
    <w:p>
      <w:pPr>
        <w:pStyle w:val="Normal"/>
        <w:ind w:hanging="10" w:start="718"/>
        <w:rPr/>
      </w:pPr>
      <w:r>
        <w:rPr/>
      </w:r>
    </w:p>
    <w:p>
      <w:pPr>
        <w:pStyle w:val="Normal"/>
        <w:ind w:hanging="10" w:start="718"/>
        <w:rPr/>
      </w:pPr>
      <w:r>
        <w:rPr/>
      </w:r>
    </w:p>
    <w:p>
      <w:pPr>
        <w:pStyle w:val="Normal"/>
        <w:numPr>
          <w:ilvl w:val="0"/>
          <w:numId w:val="1"/>
        </w:numPr>
        <w:ind w:hanging="302" w:start="302"/>
        <w:rPr/>
      </w:pPr>
      <w:r>
        <w:rPr/>
        <w:t xml:space="preserve">Odbiory robót </w:t>
      </w:r>
    </w:p>
    <w:p>
      <w:pPr>
        <w:pStyle w:val="Normal"/>
        <w:numPr>
          <w:ilvl w:val="1"/>
          <w:numId w:val="1"/>
        </w:numPr>
        <w:ind w:hanging="720" w:start="1440"/>
        <w:rPr/>
      </w:pPr>
      <w:r>
        <w:rPr/>
        <w:t xml:space="preserve">Ogólne zasady odbioru. </w:t>
      </w:r>
    </w:p>
    <w:p>
      <w:pPr>
        <w:pStyle w:val="Normal"/>
        <w:tabs>
          <w:tab w:val="clear" w:pos="708"/>
          <w:tab w:val="center" w:pos="3334" w:leader="none"/>
        </w:tabs>
        <w:ind w:hanging="0" w:start="1418"/>
        <w:jc w:val="start"/>
        <w:rPr/>
      </w:pPr>
      <w:r>
        <w:rPr/>
        <w:tab/>
        <w:t xml:space="preserve">Ogólne zasady odbioru robót podano w ST 1. Wymagania ogólne. </w:t>
      </w:r>
    </w:p>
    <w:p>
      <w:pPr>
        <w:pStyle w:val="Normal"/>
        <w:numPr>
          <w:ilvl w:val="1"/>
          <w:numId w:val="1"/>
        </w:numPr>
        <w:ind w:hanging="720" w:start="1440"/>
        <w:rPr/>
      </w:pPr>
      <w:r>
        <w:rPr/>
        <w:t xml:space="preserve">Szczególne zasady odbioru robót  </w:t>
      </w:r>
    </w:p>
    <w:p>
      <w:pPr>
        <w:pStyle w:val="Normal"/>
        <w:ind w:hanging="10" w:start="1418"/>
        <w:rPr/>
      </w:pPr>
      <w:r>
        <w:rPr/>
        <w:t>Odbiór robót polega na przejęciu rozebranych powierzchni podłóg i ścian oraz na oględzinach wszystkich elementów konstrukcji, które zostały odkryte, zanim zostaną ponownie przykryte nowymi materiałami wykończeniowymi.</w:t>
      </w:r>
    </w:p>
    <w:p>
      <w:pPr>
        <w:pStyle w:val="Normal"/>
        <w:ind w:hanging="10" w:start="718"/>
        <w:rPr/>
      </w:pPr>
      <w:r>
        <w:rPr/>
        <w:t xml:space="preserve">  </w:t>
      </w:r>
    </w:p>
    <w:p>
      <w:pPr>
        <w:pStyle w:val="Normal"/>
        <w:numPr>
          <w:ilvl w:val="0"/>
          <w:numId w:val="1"/>
        </w:numPr>
        <w:ind w:hanging="302" w:start="302"/>
        <w:rPr/>
      </w:pPr>
      <w:r>
        <w:rPr/>
        <w:t xml:space="preserve">Podstawa płatności </w:t>
      </w:r>
    </w:p>
    <w:p>
      <w:pPr>
        <w:pStyle w:val="Normal"/>
        <w:ind w:hanging="10" w:start="718"/>
        <w:rPr/>
      </w:pPr>
      <w:r>
        <w:rPr/>
        <w:t xml:space="preserve">Ogólne ustalenia dotyczące podstawy płatności podano w ST 1. „Wymagania ogólne”. </w:t>
      </w:r>
    </w:p>
    <w:p>
      <w:pPr>
        <w:pStyle w:val="Normal"/>
        <w:ind w:hanging="10" w:start="718"/>
        <w:rPr/>
      </w:pPr>
      <w:r>
        <w:rPr/>
      </w:r>
    </w:p>
    <w:p>
      <w:pPr>
        <w:pStyle w:val="Normal"/>
        <w:numPr>
          <w:ilvl w:val="0"/>
          <w:numId w:val="1"/>
        </w:numPr>
        <w:ind w:hanging="302" w:start="302"/>
        <w:rPr/>
      </w:pPr>
      <w:r>
        <w:rPr/>
        <w:t xml:space="preserve">Przepisy związane </w:t>
      </w:r>
    </w:p>
    <w:p>
      <w:pPr>
        <w:pStyle w:val="Normal"/>
        <w:spacing w:before="0" w:after="526"/>
        <w:ind w:hanging="10" w:start="718"/>
        <w:rPr/>
      </w:pPr>
      <w:r>
        <w:rPr/>
        <w:t>Rozporządzenie Ministra Infrastruktury z dnia 6 lutego 2003 roku w sprawie bezpieczeństwa i higieny podczas wykonywania robót budowlanych DZ. U. 47/401/2003.</w:t>
      </w:r>
    </w:p>
    <w:p>
      <w:pPr>
        <w:pStyle w:val="Normal"/>
        <w:spacing w:lineRule="auto" w:line="259" w:before="0" w:after="27"/>
        <w:ind w:hanging="0" w:start="0" w:end="43"/>
        <w:jc w:val="center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1410" w:gutter="0" w:header="708" w:top="1458" w:footer="708" w:bottom="765"/>
      <w:pgNumType w:fmt="decimal"/>
      <w:formProt w:val="false"/>
      <w:titlePg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Liberation Sans">
    <w:altName w:val="Arial"/>
    <w:charset w:val="ee" w:characterSet="windows-1250"/>
    <w:family w:val="swiss"/>
    <w:pitch w:val="variable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422074928"/>
      <w:docPartObj>
        <w:docPartGallery w:val="Page Numbers (Bottom of Page)"/>
        <w:docPartUnique w:val="true"/>
        <w:docPartGallery w:val="Page Numbers (Top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  <w:r>
          <w:rPr/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NUMPAGES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728636285"/>
      <w:docPartObj>
        <w:docPartGallery w:val="Page Numbers (Bottom of Page)"/>
        <w:docPartUnique w:val="true"/>
        <w:docPartGallery w:val="Page Numbers (Top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rPr/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NUMPAGES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360" w:before="0" w:after="0"/>
      <w:ind w:hanging="10" w:start="10" w:end="288"/>
      <w:jc w:val="end"/>
      <w:rPr>
        <w:szCs w:val="20"/>
      </w:rPr>
    </w:pPr>
    <w:r>
      <w:drawing>
        <wp:anchor distT="0" distB="0" distL="0" distR="0" simplePos="0" relativeHeight="3" behindDoc="1" locked="0" layoutInCell="1" allowOverlap="1">
          <wp:simplePos x="0" y="0"/>
          <wp:positionH relativeFrom="column">
            <wp:posOffset>5705475</wp:posOffset>
          </wp:positionH>
          <wp:positionV relativeFrom="paragraph">
            <wp:posOffset>-210185</wp:posOffset>
          </wp:positionV>
          <wp:extent cx="681355" cy="681355"/>
          <wp:effectExtent l="0" t="0" r="0" b="0"/>
          <wp:wrapNone/>
          <wp:docPr id="1" name="I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 1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81355" cy="681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szCs w:val="20"/>
      </w:rPr>
      <w:t>SPECYFIKACJA TECHNICZNA WYKONANIA I ODBIORU ROBÓT</w:t>
    </w:r>
  </w:p>
  <w:p>
    <w:pPr>
      <w:pStyle w:val="Normal"/>
      <w:spacing w:lineRule="auto" w:line="360" w:before="0" w:after="0"/>
      <w:ind w:hanging="0" w:start="0" w:end="288"/>
      <w:jc w:val="end"/>
      <w:rPr>
        <w:szCs w:val="20"/>
      </w:rPr>
    </w:pPr>
    <w:r>
      <w:rPr>
        <w:b/>
        <w:szCs w:val="20"/>
      </w:rPr>
      <w:t xml:space="preserve"> </w:t>
    </w:r>
    <w:r>
      <w:rPr>
        <w:b/>
        <w:szCs w:val="20"/>
      </w:rPr>
      <w:t>BUDYNEK A</w:t>
    </w:r>
    <w:r>
      <w:rPr>
        <w:b/>
        <w:szCs w:val="20"/>
      </w:rPr>
      <w:t>4, A5</w:t>
    </w:r>
    <w:r>
      <w:rPr>
        <w:b/>
        <w:szCs w:val="20"/>
      </w:rPr>
      <w:t xml:space="preserve">, </w:t>
    </w:r>
    <w:r>
      <w:rPr>
        <w:b/>
        <w:szCs w:val="20"/>
      </w:rPr>
      <w:t>A23,</w:t>
    </w:r>
    <w:r>
      <w:rPr>
        <w:b/>
        <w:szCs w:val="20"/>
      </w:rPr>
      <w:t xml:space="preserve"> A</w:t>
    </w:r>
    <w:r>
      <w:rPr>
        <w:b/>
        <w:szCs w:val="20"/>
      </w:rPr>
      <w:t>23</w:t>
    </w:r>
    <w:r>
      <w:rPr>
        <w:b/>
        <w:szCs w:val="20"/>
      </w:rPr>
      <w:t>a, A</w:t>
    </w:r>
    <w:r>
      <w:rPr>
        <w:b/>
        <w:szCs w:val="20"/>
      </w:rPr>
      <w:t>25</w:t>
    </w:r>
    <w:r>
      <w:rPr>
        <w:b/>
        <w:szCs w:val="20"/>
      </w:rPr>
      <w:t xml:space="preserve"> – ROBOTY ROZBIÓRKOWE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072"/>
        <w:tab w:val="center" w:pos="4536" w:leader="none"/>
        <w:tab w:val="right" w:pos="8647" w:leader="none"/>
      </w:tabs>
      <w:ind w:hanging="10" w:start="10" w:end="430"/>
      <w:jc w:val="end"/>
      <w:rPr>
        <w:color w:themeColor="accent5" w:themeShade="80" w:val="1F4E79"/>
      </w:rPr>
    </w:pPr>
    <w: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5686425</wp:posOffset>
          </wp:positionH>
          <wp:positionV relativeFrom="paragraph">
            <wp:posOffset>-210185</wp:posOffset>
          </wp:positionV>
          <wp:extent cx="681355" cy="681355"/>
          <wp:effectExtent l="0" t="0" r="0" b="0"/>
          <wp:wrapNone/>
          <wp:docPr id="2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81355" cy="681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themeColor="accent5" w:themeShade="80" w:val="1F4E79"/>
      </w:rPr>
      <w:t>POLITECHNIKA POZNAŃSKA</w:t>
    </w:r>
  </w:p>
  <w:p>
    <w:pPr>
      <w:pStyle w:val="Header"/>
      <w:tabs>
        <w:tab w:val="clear" w:pos="9072"/>
        <w:tab w:val="center" w:pos="4536" w:leader="none"/>
        <w:tab w:val="right" w:pos="8647" w:leader="none"/>
      </w:tabs>
      <w:ind w:hanging="10" w:start="10" w:end="430"/>
      <w:jc w:val="end"/>
      <w:rPr/>
    </w:pPr>
    <w:r>
      <w:rPr>
        <w:color w:themeColor="accent5" w:themeShade="80" w:val="1F4E79"/>
      </w:rPr>
      <w:t>ul. Jacka Rychlewskiego 1, 61-131</w:t>
    </w:r>
    <w:r>
      <w:rPr>
        <w:color w:themeColor="accent5" w:themeShade="80" w:val="1F4E79"/>
      </w:rPr>
      <w:t xml:space="preserve"> Poznań</w:t>
    </w:r>
    <w:r>
      <w:rPr/>
      <w:t xml:space="preserve"> </w:t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302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144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108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180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252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324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396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468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540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71" w:before="0" w:after="13"/>
      <w:ind w:hanging="10" w:start="10"/>
      <w:jc w:val="both"/>
    </w:pPr>
    <w:rPr>
      <w:rFonts w:ascii="Times New Roman" w:hAnsi="Times New Roman" w:eastAsia="Times New Roman" w:cs="Times New Roman"/>
      <w:color w:val="000000"/>
      <w:kern w:val="0"/>
      <w:sz w:val="20"/>
      <w:szCs w:val="22"/>
      <w:lang w:val="pl-PL" w:eastAsia="pl-PL" w:bidi="ar-SA"/>
    </w:rPr>
  </w:style>
  <w:style w:type="paragraph" w:styleId="Heading1">
    <w:name w:val="heading 1"/>
    <w:next w:val="Normal"/>
    <w:link w:val="Nagwek1Znak"/>
    <w:uiPriority w:val="9"/>
    <w:qFormat/>
    <w:pPr>
      <w:keepNext w:val="true"/>
      <w:keepLines/>
      <w:widowControl/>
      <w:bidi w:val="0"/>
      <w:spacing w:lineRule="auto" w:line="259" w:before="0" w:after="171"/>
      <w:ind w:hanging="10" w:start="10" w:end="2042"/>
      <w:jc w:val="end"/>
      <w:outlineLvl w:val="0"/>
    </w:pPr>
    <w:rPr>
      <w:rFonts w:ascii="Times New Roman" w:hAnsi="Times New Roman" w:eastAsia="Times New Roman" w:cs="Times New Roman"/>
      <w:color w:val="000000"/>
      <w:kern w:val="0"/>
      <w:sz w:val="36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qFormat/>
    <w:rPr>
      <w:rFonts w:ascii="Times New Roman" w:hAnsi="Times New Roman" w:eastAsia="Times New Roman" w:cs="Times New Roman"/>
      <w:color w:val="000000"/>
      <w:sz w:val="36"/>
    </w:rPr>
  </w:style>
  <w:style w:type="character" w:styleId="NagwekZnak" w:customStyle="1">
    <w:name w:val="Nagłówek Znak"/>
    <w:basedOn w:val="DefaultParagraphFont"/>
    <w:uiPriority w:val="99"/>
    <w:qFormat/>
    <w:rsid w:val="00743667"/>
    <w:rPr>
      <w:rFonts w:ascii="Times New Roman" w:hAnsi="Times New Roman" w:eastAsia="Times New Roman" w:cs="Times New Roman"/>
      <w:color w:val="000000"/>
      <w:sz w:val="20"/>
    </w:rPr>
  </w:style>
  <w:style w:type="character" w:styleId="StopkaZnak" w:customStyle="1">
    <w:name w:val="Stopka Znak"/>
    <w:basedOn w:val="DefaultParagraphFont"/>
    <w:uiPriority w:val="99"/>
    <w:qFormat/>
    <w:rsid w:val="00743667"/>
    <w:rPr>
      <w:rFonts w:ascii="Times New Roman" w:hAnsi="Times New Roman" w:eastAsia="Times New Roman" w:cs="Times New Roman"/>
      <w:color w:val="000000"/>
      <w:sz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Times New Roman" w:hAnsi="Times New Roman"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Arial Unicode M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74366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74366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83C2D-37F2-4F58-BF40-C070EE4AF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LibreOffice/25.8.5.2$Windows_X86_64 LibreOffice_project/9c8b85f387cc00a89945a79c9e6239f32e450ac2</Application>
  <AppVersion>15.0000</AppVersion>
  <Pages>3</Pages>
  <Words>475</Words>
  <Characters>3161</Characters>
  <CharactersWithSpaces>3644</CharactersWithSpaces>
  <Paragraphs>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2025-04-22T08:08:00Z</dcterms:created>
  <dc:creator>Krzysztof</dc:creator>
  <dc:description/>
  <dc:language>pl-PL</dc:language>
  <cp:lastModifiedBy/>
  <dcterms:modified xsi:type="dcterms:W3CDTF">2026-04-14T11:45:20Z</dcterms:modified>
  <cp:revision>4</cp:revision>
  <dc:subject/>
  <dc:title>AWF-specyfikacja r. rozbiórkowe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